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A1" w:rsidRDefault="000B0864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362835" cy="8007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10604_14454248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3470" cy="8013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A007A1" w:rsidRDefault="000B08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РТ, 420107, г Казань, </w:t>
      </w:r>
      <w:r w:rsidR="00EC597F">
        <w:rPr>
          <w:b/>
          <w:sz w:val="22"/>
          <w:szCs w:val="22"/>
        </w:rPr>
        <w:t>ул. Спартаковская, д.2 , оф. 312</w:t>
      </w:r>
    </w:p>
    <w:p w:rsidR="00A007A1" w:rsidRPr="000B0864" w:rsidRDefault="000B0864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5913D6">
        <w:rPr>
          <w:b/>
          <w:sz w:val="22"/>
          <w:szCs w:val="22"/>
          <w:lang w:val="en-US"/>
        </w:rPr>
        <w:t>-</w:t>
      </w:r>
      <w:r w:rsidRPr="000B0864">
        <w:rPr>
          <w:b/>
          <w:sz w:val="22"/>
          <w:szCs w:val="22"/>
          <w:lang w:val="en-US"/>
        </w:rPr>
        <w:t>mail</w:t>
      </w:r>
      <w:r w:rsidRPr="005913D6">
        <w:rPr>
          <w:b/>
          <w:sz w:val="22"/>
          <w:szCs w:val="22"/>
          <w:lang w:val="en-US"/>
        </w:rPr>
        <w:t xml:space="preserve">: </w:t>
      </w:r>
      <w:hyperlink r:id="rId6">
        <w:r w:rsidRPr="000B0864">
          <w:rPr>
            <w:rStyle w:val="af2"/>
            <w:b/>
            <w:sz w:val="22"/>
            <w:szCs w:val="22"/>
            <w:lang w:val="en-US"/>
          </w:rPr>
          <w:t>allworld</w:t>
        </w:r>
        <w:r w:rsidRPr="005913D6">
          <w:rPr>
            <w:rStyle w:val="af2"/>
            <w:b/>
            <w:sz w:val="22"/>
            <w:szCs w:val="22"/>
            <w:lang w:val="en-US"/>
          </w:rPr>
          <w:t>-</w:t>
        </w:r>
        <w:r w:rsidRPr="000B0864">
          <w:rPr>
            <w:rStyle w:val="af2"/>
            <w:b/>
            <w:sz w:val="22"/>
            <w:szCs w:val="22"/>
            <w:lang w:val="en-US"/>
          </w:rPr>
          <w:t>tour</w:t>
        </w:r>
        <w:r w:rsidRPr="005913D6">
          <w:rPr>
            <w:rStyle w:val="af2"/>
            <w:b/>
            <w:sz w:val="22"/>
            <w:szCs w:val="22"/>
            <w:lang w:val="en-US"/>
          </w:rPr>
          <w:t>@</w:t>
        </w:r>
        <w:r w:rsidRPr="000B0864">
          <w:rPr>
            <w:rStyle w:val="af2"/>
            <w:b/>
            <w:sz w:val="22"/>
            <w:szCs w:val="22"/>
            <w:lang w:val="en-US"/>
          </w:rPr>
          <w:t>mail</w:t>
        </w:r>
        <w:r w:rsidRPr="005913D6">
          <w:rPr>
            <w:rStyle w:val="af2"/>
            <w:b/>
            <w:sz w:val="22"/>
            <w:szCs w:val="22"/>
            <w:lang w:val="en-US"/>
          </w:rPr>
          <w:t>.</w:t>
        </w:r>
        <w:r w:rsidRPr="000B0864">
          <w:rPr>
            <w:rStyle w:val="af2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5913D6">
        <w:rPr>
          <w:b/>
          <w:sz w:val="22"/>
          <w:szCs w:val="22"/>
          <w:lang w:val="en-US"/>
        </w:rPr>
        <w:t xml:space="preserve">: </w:t>
      </w:r>
      <w:hyperlink r:id="rId7">
        <w:r w:rsidRPr="000B0864">
          <w:rPr>
            <w:rStyle w:val="af2"/>
            <w:b/>
            <w:sz w:val="22"/>
            <w:szCs w:val="22"/>
            <w:lang w:val="en-US"/>
          </w:rPr>
          <w:t>www.vesmirkazan.ru</w:t>
        </w:r>
      </w:hyperlink>
    </w:p>
    <w:p w:rsidR="00A007A1" w:rsidRDefault="000B086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A007A1" w:rsidRDefault="000B0864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A007A1" w:rsidRDefault="00A007A1"/>
    <w:p w:rsidR="00A007A1" w:rsidRDefault="00A007A1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p w:rsidR="00A007A1" w:rsidRDefault="00A007A1">
      <w:pPr>
        <w:shd w:val="clear" w:color="000000" w:fill="FFFFFF"/>
        <w:spacing w:line="270" w:lineRule="atLeast"/>
        <w:rPr>
          <w:rFonts w:ascii="Arial" w:eastAsia="Arial" w:hAnsi="Arial"/>
          <w:vanish/>
          <w:color w:val="333333"/>
          <w:sz w:val="21"/>
          <w:szCs w:val="21"/>
        </w:rPr>
      </w:pPr>
    </w:p>
    <w:tbl>
      <w:tblPr>
        <w:tblW w:w="11642" w:type="dxa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42"/>
      </w:tblGrid>
      <w:tr w:rsidR="00A007A1">
        <w:trPr>
          <w:trHeight w:val="705"/>
        </w:trPr>
        <w:tc>
          <w:tcPr>
            <w:tcW w:w="11642" w:type="dxa"/>
          </w:tcPr>
          <w:p w:rsidR="00A007A1" w:rsidRDefault="000B0864">
            <w:pPr>
              <w:spacing w:line="30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</w:t>
            </w:r>
            <w:r w:rsidR="005913D6">
              <w:rPr>
                <w:b/>
                <w:sz w:val="28"/>
                <w:szCs w:val="28"/>
              </w:rPr>
              <w:t>наторий «</w:t>
            </w:r>
            <w:proofErr w:type="spellStart"/>
            <w:r w:rsidR="005913D6">
              <w:rPr>
                <w:b/>
                <w:sz w:val="28"/>
                <w:szCs w:val="28"/>
              </w:rPr>
              <w:t>Нехама</w:t>
            </w:r>
            <w:proofErr w:type="spellEnd"/>
            <w:r w:rsidR="005913D6">
              <w:rPr>
                <w:b/>
                <w:sz w:val="28"/>
                <w:szCs w:val="28"/>
              </w:rPr>
              <w:t xml:space="preserve">» </w:t>
            </w:r>
            <w:proofErr w:type="gramStart"/>
            <w:r w:rsidR="005913D6">
              <w:rPr>
                <w:b/>
                <w:sz w:val="28"/>
                <w:szCs w:val="28"/>
              </w:rPr>
              <w:t>-Т</w:t>
            </w:r>
            <w:proofErr w:type="gramEnd"/>
            <w:r w:rsidR="005913D6">
              <w:rPr>
                <w:b/>
                <w:sz w:val="28"/>
                <w:szCs w:val="28"/>
              </w:rPr>
              <w:t>АТАРСТАН 2022</w:t>
            </w:r>
            <w:r>
              <w:rPr>
                <w:b/>
                <w:sz w:val="28"/>
                <w:szCs w:val="28"/>
              </w:rPr>
              <w:t xml:space="preserve"> год</w:t>
            </w:r>
          </w:p>
          <w:p w:rsidR="00A007A1" w:rsidRDefault="000B0864">
            <w:pPr>
              <w:pStyle w:val="1"/>
              <w:spacing w:before="280" w:beforeAutospacing="1" w:after="280" w:afterAutospacing="1" w:line="276" w:lineRule="auto"/>
              <w:jc w:val="center"/>
            </w:pPr>
            <w:r>
              <w:rPr>
                <w:b w:val="0"/>
                <w:sz w:val="24"/>
                <w:szCs w:val="24"/>
              </w:rPr>
              <w:t xml:space="preserve">Полную информацию по санаторию смотрите </w:t>
            </w:r>
            <w:hyperlink r:id="rId8">
              <w:r>
                <w:rPr>
                  <w:rStyle w:val="af2"/>
                  <w:b w:val="0"/>
                  <w:sz w:val="24"/>
                  <w:szCs w:val="24"/>
                </w:rPr>
                <w:t>здесь…</w:t>
              </w:r>
            </w:hyperlink>
          </w:p>
          <w:p w:rsidR="00A007A1" w:rsidRDefault="000B0864">
            <w:pPr>
              <w:spacing w:after="120" w:line="240" w:lineRule="atLeast"/>
              <w:contextualSpacing/>
            </w:pPr>
            <w:r>
              <w:rPr>
                <w:b/>
              </w:rPr>
              <w:t>Пенсионерам: специальные заезды по специальным ценам с трансфером из Казани! (</w:t>
            </w:r>
            <w:r>
              <w:t xml:space="preserve">см. </w:t>
            </w:r>
            <w:hyperlink r:id="rId9">
              <w:r>
                <w:rPr>
                  <w:rStyle w:val="af2"/>
                  <w:sz w:val="24"/>
                  <w:szCs w:val="24"/>
                </w:rPr>
                <w:t>здесь…</w:t>
              </w:r>
            </w:hyperlink>
            <w:r>
              <w:t>)</w:t>
            </w:r>
          </w:p>
          <w:p w:rsidR="005913D6" w:rsidRPr="005913D6" w:rsidRDefault="005913D6" w:rsidP="005913D6">
            <w:pPr>
              <w:suppressAutoHyphens/>
              <w:autoSpaceDE w:val="0"/>
              <w:rPr>
                <w:i/>
                <w:iCs/>
                <w:lang w:eastAsia="ar-SA"/>
              </w:rPr>
            </w:pPr>
            <w:r w:rsidRPr="005913D6">
              <w:rPr>
                <w:bCs/>
                <w:i/>
                <w:lang w:eastAsia="ar-SA"/>
              </w:rPr>
              <w:t>Цены действуют  с 01.01.22г.</w:t>
            </w:r>
          </w:p>
          <w:p w:rsidR="005913D6" w:rsidRPr="005913D6" w:rsidRDefault="005913D6" w:rsidP="005913D6">
            <w:pPr>
              <w:suppressAutoHyphens/>
              <w:autoSpaceDE w:val="0"/>
              <w:rPr>
                <w:lang w:eastAsia="ar-SA"/>
              </w:rPr>
            </w:pPr>
            <w:r w:rsidRPr="005913D6">
              <w:rPr>
                <w:i/>
                <w:iCs/>
                <w:lang w:eastAsia="ar-SA"/>
              </w:rPr>
              <w:t xml:space="preserve"> Расчётный период:  сутки             </w:t>
            </w:r>
            <w:r w:rsidRPr="005913D6">
              <w:rPr>
                <w:i/>
                <w:iCs/>
                <w:lang w:eastAsia="ar-SA"/>
              </w:rPr>
              <w:tab/>
            </w:r>
            <w:r w:rsidRPr="005913D6">
              <w:rPr>
                <w:i/>
                <w:iCs/>
                <w:lang w:eastAsia="ar-SA"/>
              </w:rPr>
              <w:tab/>
            </w:r>
            <w:r w:rsidRPr="005913D6">
              <w:rPr>
                <w:i/>
                <w:iCs/>
                <w:lang w:eastAsia="ar-SA"/>
              </w:rPr>
              <w:tab/>
            </w:r>
            <w:r w:rsidRPr="005913D6">
              <w:rPr>
                <w:i/>
                <w:iCs/>
                <w:lang w:eastAsia="ar-SA"/>
              </w:rPr>
              <w:tab/>
              <w:t>Рекомендуемый расчётный час: 12:00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6854"/>
              <w:gridCol w:w="41"/>
              <w:gridCol w:w="815"/>
              <w:gridCol w:w="425"/>
              <w:gridCol w:w="142"/>
              <w:gridCol w:w="997"/>
              <w:gridCol w:w="1146"/>
            </w:tblGrid>
            <w:tr w:rsidR="005913D6" w:rsidRPr="005913D6" w:rsidTr="00AD342D">
              <w:trPr>
                <w:trHeight w:val="675"/>
              </w:trPr>
              <w:tc>
                <w:tcPr>
                  <w:tcW w:w="6895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Размещение</w:t>
                  </w:r>
                </w:p>
              </w:tc>
              <w:tc>
                <w:tcPr>
                  <w:tcW w:w="138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Кол-во</w:t>
                  </w:r>
                </w:p>
                <w:p w:rsidR="005913D6" w:rsidRPr="005913D6" w:rsidRDefault="005913D6" w:rsidP="005913D6">
                  <w:pPr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мест</w:t>
                  </w:r>
                </w:p>
              </w:tc>
              <w:tc>
                <w:tcPr>
                  <w:tcW w:w="21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Проживание,</w:t>
                  </w:r>
                </w:p>
                <w:p w:rsidR="005913D6" w:rsidRPr="005913D6" w:rsidRDefault="005913D6" w:rsidP="005913D6">
                  <w:pPr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Питание*, лечение</w:t>
                  </w:r>
                </w:p>
                <w:p w:rsidR="005913D6" w:rsidRPr="005913D6" w:rsidRDefault="005913D6" w:rsidP="005913D6">
                  <w:pPr>
                    <w:suppressAutoHyphens/>
                    <w:autoSpaceDE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руб. / сутки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95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proofErr w:type="spellStart"/>
                  <w:r w:rsidRPr="005913D6">
                    <w:rPr>
                      <w:lang w:eastAsia="ar-SA"/>
                    </w:rPr>
                    <w:t>осн</w:t>
                  </w:r>
                  <w:proofErr w:type="spellEnd"/>
                  <w:r w:rsidRPr="005913D6">
                    <w:rPr>
                      <w:lang w:eastAsia="ar-SA"/>
                    </w:rPr>
                    <w:t>.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доп.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D9D9D9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 чел.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 чел.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i/>
                      <w:sz w:val="20"/>
                      <w:szCs w:val="20"/>
                      <w:lang w:eastAsia="ar-SA"/>
                    </w:rPr>
                    <w:t>(душ, санузел, кондиционер, холодильник, ТВ, фен, утюг - по запросу)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83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«Стандарт» (Корп.№5,6)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3750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88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«Стандарт» (Корп.№3)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4000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80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«Улучшенный» (Корп.№3А)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4200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«Повышенной комфортности» (№406,306)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4500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24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(Корп.№5,6)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2500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 xml:space="preserve">          5000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2-х местный номер «Стандарт» (Корп.№3)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2700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5400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2-х местный номер «Улучшенный» (Корп.№3А)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2800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5600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9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«Повышенной комфортности» (№406,306)</w:t>
                  </w:r>
                </w:p>
              </w:tc>
              <w:tc>
                <w:tcPr>
                  <w:tcW w:w="8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9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3000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6000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104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b/>
                      <w:i/>
                      <w:lang w:eastAsia="ar-SA"/>
                    </w:rPr>
                    <w:t>Льготные заезды (пенсионеры, инвалиды)</w:t>
                  </w: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«Стандарт» (Корп.№5,6)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3300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«Стандарт» (Корп.№3)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3600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«Улучшенный» (Корп.№3А)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3800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1-но местный номер «Повышенной комфортности»(№406,306)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4000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(Корп.№5,6)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2200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4200</w:t>
                  </w: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2-х местный номер «Стандарт» (Корп.№3)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2400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4800</w:t>
                  </w: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2-х местный номер «Улучшенный» (Корп.№3А)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b/>
                      <w:lang w:eastAsia="ar-SA"/>
                    </w:rPr>
                  </w:pPr>
                  <w:r w:rsidRPr="005913D6">
                    <w:rPr>
                      <w:b/>
                      <w:lang w:eastAsia="ar-SA"/>
                    </w:rPr>
                    <w:t>2500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5000</w:t>
                  </w:r>
                </w:p>
              </w:tc>
            </w:tr>
            <w:tr w:rsidR="005913D6" w:rsidRPr="005913D6" w:rsidTr="00AD342D">
              <w:trPr>
                <w:trHeight w:val="258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«Повышенной комфортности» (№406,306)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2700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5400</w:t>
                  </w:r>
                </w:p>
              </w:tc>
            </w:tr>
            <w:tr w:rsidR="005913D6" w:rsidRPr="005913D6" w:rsidTr="00AD342D">
              <w:trPr>
                <w:trHeight w:val="272"/>
              </w:trPr>
              <w:tc>
                <w:tcPr>
                  <w:tcW w:w="104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b/>
                      <w:i/>
                      <w:lang w:eastAsia="ar-SA"/>
                    </w:rPr>
                    <w:t>Заезды «Мать и дитя»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(Корп.№5,6)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4200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(Корп.№3)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4500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(Корп.№3 А)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4700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104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b/>
                      <w:i/>
                      <w:lang w:eastAsia="ar-SA"/>
                    </w:rPr>
                    <w:t>Тариф  «Оздоровительный»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(Корп.№5)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2200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4200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(Корп.№3)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2400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4800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2-х местный номер «Стандарт» (Корп.№3 А)</w:t>
                  </w:r>
                </w:p>
              </w:tc>
              <w:tc>
                <w:tcPr>
                  <w:tcW w:w="85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1,5+1,5</w:t>
                  </w:r>
                </w:p>
              </w:tc>
              <w:tc>
                <w:tcPr>
                  <w:tcW w:w="4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</w:t>
                  </w:r>
                </w:p>
              </w:tc>
              <w:tc>
                <w:tcPr>
                  <w:tcW w:w="11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2500</w:t>
                  </w:r>
                </w:p>
              </w:tc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5000</w:t>
                  </w:r>
                </w:p>
              </w:tc>
            </w:tr>
            <w:tr w:rsidR="005913D6" w:rsidRPr="005913D6" w:rsidTr="00AD342D">
              <w:trPr>
                <w:trHeight w:val="135"/>
              </w:trPr>
              <w:tc>
                <w:tcPr>
                  <w:tcW w:w="1042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b/>
                      <w:i/>
                      <w:lang w:eastAsia="ar-SA"/>
                    </w:rPr>
                    <w:t>Проживание детей (без лечения)</w:t>
                  </w:r>
                </w:p>
              </w:tc>
            </w:tr>
            <w:tr w:rsidR="005913D6" w:rsidRPr="005913D6" w:rsidTr="00AD342D">
              <w:trPr>
                <w:trHeight w:val="260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proofErr w:type="spellStart"/>
                  <w:r w:rsidRPr="005913D6">
                    <w:rPr>
                      <w:lang w:eastAsia="ar-SA"/>
                    </w:rPr>
                    <w:t>Реб</w:t>
                  </w:r>
                  <w:proofErr w:type="spellEnd"/>
                  <w:r w:rsidRPr="005913D6">
                    <w:rPr>
                      <w:lang w:eastAsia="ar-SA"/>
                    </w:rPr>
                    <w:t>. до 3-х лет вкл</w:t>
                  </w:r>
                  <w:proofErr w:type="gramStart"/>
                  <w:r w:rsidRPr="005913D6">
                    <w:rPr>
                      <w:lang w:eastAsia="ar-SA"/>
                    </w:rPr>
                    <w:t>.(</w:t>
                  </w:r>
                  <w:proofErr w:type="gramEnd"/>
                  <w:r w:rsidRPr="005913D6">
                    <w:rPr>
                      <w:lang w:eastAsia="ar-SA"/>
                    </w:rPr>
                    <w:t>без предоставления места, питания, лечения)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bCs/>
                      <w:lang w:eastAsia="ar-SA"/>
                    </w:rPr>
                    <w:t>бесплатно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Ребенок 4-14 лет на основное и дополнительное место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right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1700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Детская кроватка (аренда)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 xml:space="preserve">               500(в сутки)</w:t>
                  </w:r>
                </w:p>
              </w:tc>
            </w:tr>
            <w:tr w:rsidR="005913D6" w:rsidRPr="005913D6" w:rsidTr="00AD342D">
              <w:trPr>
                <w:trHeight w:val="255"/>
              </w:trPr>
              <w:tc>
                <w:tcPr>
                  <w:tcW w:w="68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>Доп. место (3-е место)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</w:p>
              </w:tc>
              <w:tc>
                <w:tcPr>
                  <w:tcW w:w="2285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913D6" w:rsidRPr="005913D6" w:rsidRDefault="005913D6" w:rsidP="005913D6">
                  <w:pPr>
                    <w:suppressAutoHyphens/>
                    <w:autoSpaceDE w:val="0"/>
                    <w:snapToGrid w:val="0"/>
                    <w:jc w:val="center"/>
                    <w:rPr>
                      <w:lang w:eastAsia="ar-SA"/>
                    </w:rPr>
                  </w:pPr>
                  <w:r w:rsidRPr="005913D6">
                    <w:rPr>
                      <w:lang w:eastAsia="ar-SA"/>
                    </w:rPr>
                    <w:t xml:space="preserve">             скидка - 20% </w:t>
                  </w:r>
                </w:p>
              </w:tc>
            </w:tr>
          </w:tbl>
          <w:p w:rsidR="005913D6" w:rsidRDefault="005913D6" w:rsidP="008651FB">
            <w:pPr>
              <w:autoSpaceDE w:val="0"/>
              <w:rPr>
                <w:b/>
                <w:bCs/>
              </w:rPr>
            </w:pPr>
            <w:bookmarkStart w:id="0" w:name="_GoBack"/>
            <w:bookmarkEnd w:id="0"/>
          </w:p>
          <w:p w:rsidR="005913D6" w:rsidRDefault="005913D6" w:rsidP="008651FB">
            <w:pPr>
              <w:autoSpaceDE w:val="0"/>
              <w:rPr>
                <w:b/>
                <w:bCs/>
              </w:rPr>
            </w:pPr>
          </w:p>
          <w:p w:rsidR="008651FB" w:rsidRDefault="008651FB" w:rsidP="008651FB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* В стоимость включено питание (завтрак – «шведский стол», в корпусах №1 и №6 – завтрак «континентальный»; обед и ужин – «заказное меню»)</w:t>
            </w:r>
          </w:p>
          <w:p w:rsidR="008651FB" w:rsidRDefault="008651FB" w:rsidP="008651FB">
            <w:pPr>
              <w:autoSpaceDE w:val="0"/>
              <w:rPr>
                <w:b/>
                <w:color w:val="363636"/>
                <w:shd w:val="clear" w:color="auto" w:fill="FFFFFF"/>
              </w:rPr>
            </w:pPr>
            <w:r>
              <w:rPr>
                <w:b/>
                <w:bCs/>
              </w:rPr>
              <w:t>** Проживание детей указано без стоимости лечения. Лечение на выбор по прайсу на медицинские услуги.</w:t>
            </w:r>
          </w:p>
          <w:p w:rsidR="00903490" w:rsidRDefault="008651FB" w:rsidP="008651FB">
            <w:pPr>
              <w:rPr>
                <w:b/>
                <w:color w:val="363636"/>
              </w:rPr>
            </w:pPr>
            <w:r>
              <w:rPr>
                <w:b/>
                <w:color w:val="363636"/>
                <w:shd w:val="clear" w:color="auto" w:fill="FFFFFF"/>
              </w:rPr>
              <w:t xml:space="preserve">*** По программе «Тур выходного дня» в </w:t>
            </w:r>
            <w:r>
              <w:rPr>
                <w:b/>
                <w:color w:val="363636"/>
              </w:rPr>
              <w:t xml:space="preserve">стоимость входит: проживание в комфортабельном номере, </w:t>
            </w:r>
          </w:p>
          <w:p w:rsidR="008651FB" w:rsidRDefault="008651FB" w:rsidP="008651FB">
            <w:pPr>
              <w:rPr>
                <w:b/>
                <w:color w:val="363636"/>
              </w:rPr>
            </w:pPr>
            <w:proofErr w:type="gramStart"/>
            <w:r>
              <w:rPr>
                <w:b/>
                <w:color w:val="363636"/>
              </w:rPr>
              <w:t xml:space="preserve">4-х разовое питание, бассейн, две оздоровительные процедуры на выбор (циркулярный душ, вихревая ванна для рук, душ Шарко, механический массаж на аппарате </w:t>
            </w:r>
            <w:proofErr w:type="spellStart"/>
            <w:r>
              <w:rPr>
                <w:b/>
                <w:color w:val="363636"/>
              </w:rPr>
              <w:t>Combo</w:t>
            </w:r>
            <w:proofErr w:type="spellEnd"/>
            <w:r>
              <w:rPr>
                <w:b/>
                <w:color w:val="363636"/>
              </w:rPr>
              <w:t xml:space="preserve">, восходящий душ, массажная подушка, вихревая ванна для ног, </w:t>
            </w:r>
            <w:proofErr w:type="spellStart"/>
            <w:r>
              <w:rPr>
                <w:b/>
                <w:color w:val="363636"/>
              </w:rPr>
              <w:t>галокамера</w:t>
            </w:r>
            <w:proofErr w:type="spellEnd"/>
            <w:r>
              <w:rPr>
                <w:b/>
                <w:color w:val="363636"/>
              </w:rPr>
              <w:t>, ароматерапия.</w:t>
            </w:r>
            <w:proofErr w:type="gramEnd"/>
          </w:p>
          <w:p w:rsidR="008651FB" w:rsidRDefault="008651FB" w:rsidP="008651FB">
            <w:pPr>
              <w:rPr>
                <w:b/>
                <w:bCs/>
              </w:rPr>
            </w:pPr>
            <w:r>
              <w:rPr>
                <w:b/>
                <w:color w:val="363636"/>
              </w:rPr>
              <w:t xml:space="preserve">  Тур предоставляется при наличии свободных мест, в период с пятницы по воскресенье</w:t>
            </w:r>
          </w:p>
          <w:p w:rsidR="008651FB" w:rsidRDefault="008651FB" w:rsidP="008651FB">
            <w:pPr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 xml:space="preserve">Дети: </w:t>
            </w:r>
            <w:r>
              <w:rPr>
                <w:bCs/>
              </w:rPr>
              <w:t>принимаются с 1 года, с лечением</w:t>
            </w:r>
            <w:r>
              <w:t xml:space="preserve"> - на основании Санаторно-курортной карты. </w:t>
            </w:r>
            <w:r>
              <w:rPr>
                <w:bCs/>
              </w:rPr>
              <w:t>Для детей 1-5 лет разработано специальное детское меню.</w:t>
            </w:r>
          </w:p>
          <w:p w:rsidR="008651FB" w:rsidRDefault="008651FB" w:rsidP="008651FB">
            <w:pPr>
              <w:rPr>
                <w:b/>
              </w:rPr>
            </w:pPr>
            <w:r>
              <w:rPr>
                <w:b/>
                <w:bCs/>
              </w:rPr>
              <w:t>Условия обслуживания:</w:t>
            </w:r>
            <w:r>
              <w:br/>
            </w:r>
            <w:r>
              <w:rPr>
                <w:b/>
                <w:iCs/>
              </w:rPr>
              <w:t>Расчетный час:</w:t>
            </w:r>
            <w:r>
              <w:rPr>
                <w:iCs/>
              </w:rPr>
              <w:t xml:space="preserve"> Рекомендуемый расчетный час 12:00. Расчетный период – сутки. </w:t>
            </w:r>
          </w:p>
          <w:p w:rsidR="00903490" w:rsidRDefault="008651FB" w:rsidP="008651FB">
            <w:r>
              <w:rPr>
                <w:b/>
              </w:rPr>
              <w:t>Документы на заселение:</w:t>
            </w:r>
            <w:r>
              <w:t xml:space="preserve"> Путевка или</w:t>
            </w:r>
            <w:r w:rsidR="00FF4DB8">
              <w:t xml:space="preserve"> Ваучер</w:t>
            </w:r>
            <w:r>
              <w:t xml:space="preserve">, документы, удостоверяющие личность ВСЕХ участников </w:t>
            </w:r>
          </w:p>
          <w:p w:rsidR="008651FB" w:rsidRDefault="008651FB" w:rsidP="008651FB">
            <w:pPr>
              <w:rPr>
                <w:b/>
                <w:bCs/>
              </w:rPr>
            </w:pPr>
            <w:r>
              <w:t xml:space="preserve">тура (паспорт, свидетельство о рождении), страховой медицинский полис, санаторно-курортная карта (если путевка с лечением, давностью не более 1-го  месяца). Для детей до 14л. дополнительно  нужна справка об </w:t>
            </w:r>
            <w:proofErr w:type="spellStart"/>
            <w:r>
              <w:t>эпидокружении</w:t>
            </w:r>
            <w:proofErr w:type="spellEnd"/>
            <w:r>
              <w:t>.</w:t>
            </w:r>
          </w:p>
          <w:p w:rsidR="00903490" w:rsidRDefault="008651FB" w:rsidP="008651FB">
            <w:pPr>
              <w:autoSpaceDE w:val="0"/>
              <w:rPr>
                <w:bCs/>
              </w:rPr>
            </w:pPr>
            <w:r>
              <w:rPr>
                <w:b/>
                <w:bCs/>
              </w:rPr>
              <w:t xml:space="preserve">Условные обозначения: </w:t>
            </w:r>
            <w:r>
              <w:rPr>
                <w:bCs/>
              </w:rPr>
              <w:t>основное место: «2» – 2-х спальная кровать, «1» – 1-спальная кровать, доп. место:</w:t>
            </w:r>
          </w:p>
          <w:p w:rsidR="008651FB" w:rsidRDefault="008651FB" w:rsidP="008651FB">
            <w:pPr>
              <w:autoSpaceDE w:val="0"/>
              <w:rPr>
                <w:b/>
                <w:bCs/>
              </w:rPr>
            </w:pPr>
            <w:r>
              <w:rPr>
                <w:bCs/>
              </w:rPr>
              <w:t xml:space="preserve"> «2» – диван, «1» – кресло-кровать.</w:t>
            </w:r>
          </w:p>
          <w:p w:rsidR="008651FB" w:rsidRDefault="008651FB">
            <w:pPr>
              <w:spacing w:after="120" w:line="240" w:lineRule="atLeast"/>
              <w:contextualSpacing/>
            </w:pPr>
          </w:p>
        </w:tc>
      </w:tr>
    </w:tbl>
    <w:p w:rsidR="00B12468" w:rsidRDefault="00B12468" w:rsidP="00B12468">
      <w:pPr>
        <w:autoSpaceDE w:val="0"/>
      </w:pPr>
    </w:p>
    <w:p w:rsidR="00A007A1" w:rsidRDefault="00A007A1" w:rsidP="00CA48B8">
      <w:pPr>
        <w:wordWrap w:val="0"/>
        <w:autoSpaceDE w:val="0"/>
        <w:snapToGrid w:val="0"/>
        <w:rPr>
          <w:b/>
          <w:sz w:val="28"/>
          <w:szCs w:val="28"/>
        </w:rPr>
      </w:pPr>
    </w:p>
    <w:sectPr w:rsidR="00A007A1" w:rsidSect="000B0864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007A1"/>
    <w:rsid w:val="000B0864"/>
    <w:rsid w:val="002115D5"/>
    <w:rsid w:val="004C06E0"/>
    <w:rsid w:val="00570AC2"/>
    <w:rsid w:val="00575CC6"/>
    <w:rsid w:val="005913D6"/>
    <w:rsid w:val="008651FB"/>
    <w:rsid w:val="00903490"/>
    <w:rsid w:val="009E7DD8"/>
    <w:rsid w:val="00A007A1"/>
    <w:rsid w:val="00A356F3"/>
    <w:rsid w:val="00B12468"/>
    <w:rsid w:val="00BC5D25"/>
    <w:rsid w:val="00BF6993"/>
    <w:rsid w:val="00CA48B8"/>
    <w:rsid w:val="00CC65C7"/>
    <w:rsid w:val="00EC597F"/>
    <w:rsid w:val="00F52746"/>
    <w:rsid w:val="00FF4DB8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7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A007A1"/>
    <w:pPr>
      <w:outlineLvl w:val="0"/>
    </w:pPr>
    <w:rPr>
      <w:b/>
      <w:sz w:val="48"/>
      <w:szCs w:val="48"/>
    </w:rPr>
  </w:style>
  <w:style w:type="paragraph" w:styleId="2">
    <w:name w:val="heading 2"/>
    <w:uiPriority w:val="8"/>
    <w:qFormat/>
    <w:rsid w:val="00A007A1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A007A1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A007A1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A007A1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A007A1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A007A1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A007A1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A007A1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007A1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A007A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007A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007A1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A007A1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A007A1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A007A1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A007A1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A007A1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A007A1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A007A1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A007A1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A007A1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A007A1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A007A1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A007A1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A007A1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A007A1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A007A1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A007A1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A007A1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A007A1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A007A1"/>
    <w:pPr>
      <w:ind w:left="3400"/>
      <w:jc w:val="both"/>
    </w:pPr>
    <w:rPr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07A1"/>
    <w:rPr>
      <w:rFonts w:ascii="Tahoma" w:eastAsia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07A1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2">
    <w:name w:val="Hyperlink"/>
    <w:basedOn w:val="a0"/>
    <w:unhideWhenUsed/>
    <w:rsid w:val="00A007A1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A007A1"/>
  </w:style>
  <w:style w:type="paragraph" w:styleId="af3">
    <w:name w:val="Normal (Web)"/>
    <w:basedOn w:val="a"/>
    <w:unhideWhenUsed/>
    <w:rsid w:val="00A007A1"/>
  </w:style>
  <w:style w:type="character" w:customStyle="1" w:styleId="10">
    <w:name w:val="Заголовок 1 Знак"/>
    <w:basedOn w:val="a0"/>
    <w:link w:val="1"/>
    <w:rsid w:val="00A007A1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7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A007A1"/>
    <w:pPr>
      <w:outlineLvl w:val="0"/>
    </w:pPr>
    <w:rPr>
      <w:b/>
      <w:sz w:val="48"/>
      <w:szCs w:val="48"/>
    </w:rPr>
  </w:style>
  <w:style w:type="paragraph" w:styleId="2">
    <w:name w:val="heading 2"/>
    <w:uiPriority w:val="8"/>
    <w:qFormat/>
    <w:rsid w:val="00A007A1"/>
    <w:pPr>
      <w:jc w:val="both"/>
      <w:outlineLvl w:val="1"/>
    </w:pPr>
    <w:rPr>
      <w:sz w:val="20"/>
      <w:szCs w:val="20"/>
    </w:rPr>
  </w:style>
  <w:style w:type="paragraph" w:styleId="3">
    <w:name w:val="heading 3"/>
    <w:uiPriority w:val="9"/>
    <w:qFormat/>
    <w:rsid w:val="00A007A1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uiPriority w:val="10"/>
    <w:qFormat/>
    <w:rsid w:val="00A007A1"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rsid w:val="00A007A1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A007A1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A007A1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A007A1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A007A1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A007A1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A007A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A007A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A007A1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A007A1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A007A1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A007A1"/>
    <w:rPr>
      <w:b/>
      <w:w w:val="100"/>
      <w:sz w:val="20"/>
      <w:szCs w:val="20"/>
      <w:shd w:val="clear" w:color="auto" w:fill="auto"/>
    </w:rPr>
  </w:style>
  <w:style w:type="paragraph" w:styleId="20">
    <w:name w:val="Quote"/>
    <w:uiPriority w:val="21"/>
    <w:qFormat/>
    <w:rsid w:val="00A007A1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A007A1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A007A1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A007A1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A007A1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uiPriority w:val="26"/>
    <w:qFormat/>
    <w:rsid w:val="00A007A1"/>
    <w:pPr>
      <w:ind w:left="850"/>
      <w:jc w:val="both"/>
    </w:pPr>
    <w:rPr>
      <w:sz w:val="20"/>
      <w:szCs w:val="20"/>
    </w:rPr>
  </w:style>
  <w:style w:type="paragraph" w:styleId="af">
    <w:name w:val="TOC Heading"/>
    <w:uiPriority w:val="27"/>
    <w:unhideWhenUsed/>
    <w:qFormat/>
    <w:rsid w:val="00A007A1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A007A1"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rsid w:val="00A007A1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A007A1"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rsid w:val="00A007A1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A007A1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A007A1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A007A1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A007A1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A007A1"/>
    <w:pPr>
      <w:ind w:left="3400"/>
      <w:jc w:val="both"/>
    </w:pPr>
    <w:rPr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07A1"/>
    <w:rPr>
      <w:rFonts w:ascii="Tahoma" w:eastAsia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07A1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2">
    <w:name w:val="Hyperlink"/>
    <w:basedOn w:val="a0"/>
    <w:unhideWhenUsed/>
    <w:rsid w:val="00A007A1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A007A1"/>
  </w:style>
  <w:style w:type="paragraph" w:styleId="af3">
    <w:name w:val="Normal (Web)"/>
    <w:basedOn w:val="a"/>
    <w:unhideWhenUsed/>
    <w:rsid w:val="00A007A1"/>
  </w:style>
  <w:style w:type="character" w:customStyle="1" w:styleId="10">
    <w:name w:val="Заголовок 1 Знак"/>
    <w:basedOn w:val="a0"/>
    <w:link w:val="1"/>
    <w:rsid w:val="00A007A1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tatarstan/sanatorij-nexama-tatarsta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604</Words>
  <Characters>3449</Characters>
  <Application>Microsoft Office Word</Application>
  <DocSecurity>0</DocSecurity>
  <Lines>28</Lines>
  <Paragraphs>8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6</cp:revision>
  <dcterms:created xsi:type="dcterms:W3CDTF">2018-08-23T13:11:00Z</dcterms:created>
  <dcterms:modified xsi:type="dcterms:W3CDTF">2022-02-02T13:24:00Z</dcterms:modified>
</cp:coreProperties>
</file>